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1023938" cy="97060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9706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Open Sans" w:cs="Open Sans" w:eastAsia="Open Sans" w:hAnsi="Open Sans"/>
          <w:b w:val="1"/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u w:val="single"/>
          <w:rtl w:val="0"/>
        </w:rPr>
        <w:t xml:space="preserve">Addressing Learning Loss: Brainstorm Notetaker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Subject Area: ___________________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10185"/>
        <w:tblGridChange w:id="0">
          <w:tblGrid>
            <w:gridCol w:w="3480"/>
            <w:gridCol w:w="1018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What are our needs as a department as we try to answer these questions?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Think of needs in terms of: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Collaboration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Support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Social Emotional Support for Students</w:t>
            </w:r>
          </w:p>
          <w:p w:rsidR="00000000" w:rsidDel="00000000" w:rsidP="00000000" w:rsidRDefault="00000000" w:rsidRPr="00000000" w14:paraId="00000010">
            <w:pPr>
              <w:keepLines w:val="1"/>
              <w:shd w:fill="ffffff" w:val="clear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can we diagnose where students are and build more social-emotional work into Q1?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Community Building</w:t>
            </w:r>
          </w:p>
          <w:p w:rsidR="00000000" w:rsidDel="00000000" w:rsidP="00000000" w:rsidRDefault="00000000" w:rsidRPr="00000000" w14:paraId="00000013">
            <w:pPr>
              <w:keepLines w:val="1"/>
              <w:shd w:fill="ffffff" w:val="clear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can we strengthen community in Q1?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Supporting Students’ Non-Cognitive Skill Growth</w:t>
            </w:r>
          </w:p>
          <w:p w:rsidR="00000000" w:rsidDel="00000000" w:rsidP="00000000" w:rsidRDefault="00000000" w:rsidRPr="00000000" w14:paraId="00000016">
            <w:pPr>
              <w:keepLines w:val="1"/>
              <w:shd w:fill="ffffff" w:val="clear"/>
              <w:spacing w:line="240" w:lineRule="auto"/>
              <w:ind w:left="0" w:firstLine="0"/>
              <w:rPr>
                <w:rFonts w:ascii="Open Sans" w:cs="Open Sans" w:eastAsia="Open Sans" w:hAnsi="Open Sans"/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We’re going to continue asking students to be more independent. In what ways do we need to be coaches, and how do we plan for that?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Curriculum</w:t>
            </w:r>
          </w:p>
          <w:p w:rsidR="00000000" w:rsidDel="00000000" w:rsidP="00000000" w:rsidRDefault="00000000" w:rsidRPr="00000000" w14:paraId="00000019">
            <w:pPr>
              <w:keepLines w:val="1"/>
              <w:shd w:fill="ffffff" w:val="clear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can we plan for a curriculum that may need to shift, considering what instruction was missed in Q4 and that we may need to teach remotely again?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